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59" w:lineRule="auto"/>
        <w:ind w:left="0" w:right="5597" w:firstLine="0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2983828" cy="848437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3828" cy="848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54" w:lineRule="auto"/>
        <w:ind w:left="1348" w:right="1195" w:firstLine="0"/>
        <w:contextualSpacing w:val="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Контрольный лист ЕЖЕМЕСЯЧНОГО  обслуживания клиентов с договором 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70" w:firstLine="0"/>
        <w:contextualSpacing w:val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/>
        <w:contextualSpacing w:val="0"/>
        <w:rPr/>
      </w:pPr>
      <w:r w:rsidDel="00000000" w:rsidR="00000000" w:rsidRPr="00000000">
        <w:rPr>
          <w:rtl w:val="0"/>
        </w:rPr>
        <w:t xml:space="preserve">Требуемое оборудование для проведения ТО: </w:t>
      </w:r>
    </w:p>
    <w:p w:rsidR="00000000" w:rsidDel="00000000" w:rsidP="00000000" w:rsidRDefault="00000000" w:rsidRPr="00000000" w14:paraId="00000004">
      <w:pPr>
        <w:ind w:left="-5"/>
        <w:contextualSpacing w:val="0"/>
        <w:rPr/>
      </w:pPr>
      <w:r w:rsidDel="00000000" w:rsidR="00000000" w:rsidRPr="00000000">
        <w:rPr>
          <w:rtl w:val="0"/>
        </w:rPr>
        <w:t xml:space="preserve">1. Кисть. 2. Ветошь. 3. Фотоаппарат. 4. Пылесос. 5. Компрессор. 6. Манометр для определения давления в расширительном баке. 7. Дифференциальный манометр. 8. Пирометр с выносным зонтом для определения температуры. 9. Мыльный раствор или прибор определения утечек. 10. Мультиметр. 11.Набор инструмента. 12. Щетка большая, щетка малая и совок. 13. </w:t>
      </w:r>
      <w:r w:rsidDel="00000000" w:rsidR="00000000" w:rsidRPr="00000000">
        <w:rPr>
          <w:color w:val="353535"/>
          <w:rtl w:val="0"/>
        </w:rPr>
        <w:t xml:space="preserve">Мешки для мусора.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​</w:t>
      </w:r>
      <w:r w:rsidDel="00000000" w:rsidR="00000000" w:rsidRPr="00000000">
        <w:rPr>
          <w:color w:val="35353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70" w:firstLine="0"/>
        <w:contextualSpacing w:val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64.0" w:type="dxa"/>
        <w:jc w:val="left"/>
        <w:tblInd w:w="-99.00000000000003" w:type="dxa"/>
        <w:tblLayout w:type="fixed"/>
        <w:tblLook w:val="0400"/>
      </w:tblPr>
      <w:tblGrid>
        <w:gridCol w:w="8079"/>
        <w:gridCol w:w="2385"/>
        <w:tblGridChange w:id="0">
          <w:tblGrid>
            <w:gridCol w:w="8079"/>
            <w:gridCol w:w="238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0" w:line="259" w:lineRule="auto"/>
              <w:ind w:left="0" w:right="96" w:firstLine="0"/>
              <w:contextualSpacing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0" w:line="259" w:lineRule="auto"/>
              <w:ind w:left="0" w:right="111" w:firstLine="0"/>
              <w:contextualSpacing w:val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Результат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2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Заказчик и адрес проведения работ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362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Выяснить у ответственного за котельную сотрудника замечания по работе котельной.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362" w:right="103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Провести общий осмотр котельной на наличие протечек и подтеканий. Проверить герметичность гидравлической системы котла: контура отопления и контура ГВС. Устранить не герметичность.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362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Проверить герметичность всех газовых соединений - обмыливанием или прибором. Устранить утечки.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Герметично.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362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В процессе работы оборудования проверить наличие посторонних шумов.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 Отсутствуют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2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Проверить работоспособность сетевого насоса.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13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В рработе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58" w:lineRule="auto"/>
              <w:ind w:left="362" w:right="97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Для котлов с открытой камерой сгорания, либо наддувных горелок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59" w:lineRule="auto"/>
              <w:ind w:left="0" w:right="122" w:firstLine="0"/>
              <w:contextualSpacing w:val="0"/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ОТКРЫТОЕ отдельное отверстие в стене для притока воздуха с улицы).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59" w:lineRule="auto"/>
              <w:ind w:left="2" w:firstLine="0"/>
              <w:contextualSpacing w:val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Записать показания по расходу газа по счетчику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1341328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362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 Указать тип счетчика (если Ирвис, погрешность до 5 кПа при P=0,2 Мпа, и 10 кПа при P=1 Мпа)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4" w:line="259" w:lineRule="auto"/>
              <w:ind w:left="2" w:firstLine="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 Указать давление газа на счетчике (справочно - 760 мм рт. ст.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59" w:lineRule="auto"/>
              <w:ind w:left="362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эквивалентно 1,01325 бар (1013,25 мбар) или 101 325 Па)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674.4кПа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2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 Указать давление газа по контрольному манометру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5.9бар. (28кПа)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2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 Температура подачи на каждом котле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70°С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="259" w:lineRule="auto"/>
              <w:ind w:left="2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 Температура обратки на каждом котле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60°С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2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 Давление теплоносителя в системе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2.5 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362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 Проверить расширительные баки системы ГВС ХВС и отопления на наличие воды (при простукивании должен звенеть как пустой)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27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Проверено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28">
            <w:pPr>
              <w:spacing w:after="0" w:line="259" w:lineRule="auto"/>
              <w:ind w:left="362" w:right="96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 Проверить предохранительно сбросные клапаны системы ГВС и отопления на возможные сработки в прошедшем периоде, их визуальное состояние.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29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Осмотрено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362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 Отключить котел от электропитания. Перекрыть подачу газа. Перекрыть автоматическую подпитку системы отопления.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360" w:right="70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 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Продуть и очистить форсунки горелки.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4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19. Проверка чистоты фильтра газа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Очищено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360" w:right="62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 Проверить работу системы безопасности газовой части котла - защита при исчезновении пламени (исправность электрода ионизации). Измерить ток ионизации.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​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мкA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​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= 13-20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4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21. Проверить полное перекрытие газа при сработке газового клапана.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36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22. Проверка срабатывания системы безопасности при отключении электроэнергии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Проверено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23. Проверка запуска после подачи электроэнергии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24. Проверка срабатывания регулировочных термостатов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Проверено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25. Измерить температуру дымовых газов на каждом котле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150°С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59" w:lineRule="auto"/>
              <w:ind w:left="36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26. Проверить </w:t>
              <w:tab/>
              <w:t xml:space="preserve">работу </w:t>
              <w:tab/>
              <w:t xml:space="preserve">водоподготовки/комплексона, </w:t>
              <w:tab/>
              <w:t xml:space="preserve">необходимость заполнения реагентами.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Осмотрено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36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27. Сделать запись в журнале котельной. Если запись не удается сделать - написать почему.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Записано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360" w:hanging="360"/>
              <w:contextualSpacing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28. Если что-то не работает сделать ФОТО неисправности и оборудования (шильдик, номер, завод изготовитель и т.д.) ВАЖНО!!!!!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4" w:line="259" w:lineRule="auto"/>
              <w:ind w:left="36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Сделать уборку в котельной после себя.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4" w:line="259" w:lineRule="auto"/>
              <w:ind w:left="36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Очистить от пыли оборудование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59" w:lineRule="auto"/>
              <w:ind w:left="360" w:hanging="36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Сделать фото проведенных работ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32. ЗАКРЫТЬ ВСЕ ПРОДУВОЧНЫЕ СВЕЧИ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Закрыры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33. Рекомендации сервисного специалиста Трубин О.Г.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59" w:lineRule="auto"/>
              <w:ind w:left="0" w:firstLine="0"/>
              <w:contextualSpacing w:val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34. Заключение по акту ответственного лица организации «Территория тепла»: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59" w:lineRule="auto"/>
        <w:ind w:left="0" w:firstLine="0"/>
        <w:contextualSpacing w:val="0"/>
        <w:jc w:val="left"/>
        <w:rPr/>
      </w:pPr>
      <w:r w:rsidDel="00000000" w:rsidR="00000000" w:rsidRPr="00000000">
        <w:rPr>
          <w:color w:val="353535"/>
          <w:rtl w:val="0"/>
        </w:rPr>
        <w:t xml:space="preserve">версия от 01.03.2019 г.  </w:t>
      </w:r>
      <w:r w:rsidDel="00000000" w:rsidR="00000000" w:rsidRPr="00000000">
        <w:rPr>
          <w:rtl w:val="0"/>
        </w:rPr>
      </w:r>
    </w:p>
    <w:sectPr>
      <w:pgSz w:h="16860" w:w="11920"/>
      <w:pgMar w:bottom="864" w:top="728" w:left="721" w:right="7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9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78" w:hanging="117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98" w:hanging="189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18" w:hanging="261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38" w:hanging="333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58" w:hanging="405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78" w:hanging="477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98" w:hanging="549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18" w:hanging="6218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-RU"/>
      </w:rPr>
    </w:rPrDefault>
    <w:pPrDefault>
      <w:pPr>
        <w:spacing w:after="3" w:line="251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3" w:line="251" w:lineRule="auto"/>
      <w:ind w:left="10" w:hanging="10"/>
      <w:jc w:val="both"/>
    </w:pPr>
    <w:rPr>
      <w:rFonts w:ascii="Arial" w:cs="Arial" w:eastAsia="Arial" w:hAnsi="Arial"/>
      <w:color w:val="000000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8.0" w:type="dxa"/>
        <w:left w:w="98.0" w:type="dxa"/>
        <w:bottom w:w="0.0" w:type="dxa"/>
        <w:right w:w="1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